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4B2E83"/>
          <w:sz w:val="32"/>
        </w:rPr>
        <w:t>Afgeschermde collecties: zo geeft u Ansvar opdracht</w:t>
      </w:r>
    </w:p>
    <w:p>
      <w:r>
        <w:rPr>
          <w:i/>
          <w:sz w:val="18"/>
        </w:rPr>
        <w:t>Begeleidende notitie bij Bijlage R. Formulierversie R-2026-09-23.2.</w:t>
      </w:r>
    </w:p>
    <w:p>
      <w:pPr>
        <w:spacing w:after="80"/>
      </w:pPr>
      <w:r>
        <w:t>Sommige collecties met rechterlijke uitspraken noemen de betrokkenen bij naam, soms met gezondheids- of strafrechtelijke gegevens. Ansvar heeft geen eigen grondslag om die te tonen. Daarom stellen wij ze alleen beschikbaar aan een organisatie die ons schriftelijk opdracht geeft en zelf een grondslag heeft. Voor die collecties is uw organisatie de verwerkingsverantwoordelijke en is Ansvar uw verwerker.</w:t>
      </w:r>
    </w:p>
    <w:p>
      <w:pPr>
        <w:spacing w:after="80"/>
      </w:pPr>
      <w:r>
        <w:t>Bijlage R is die opdracht: een korte, aparte bijlage bij onze verwerkersovereenkomst (ansvar.eu/dpa), alleen voor de collecties die u opgeeft. De verwerkersovereenkomst zelf blijft ongewijzigd. De bijlage noemt de collecties, het doel, de bewaartermijn en de einddatum.</w:t>
      </w:r>
    </w:p>
    <w:p>
      <w:pPr>
        <w:keepNext/>
        <w:spacing w:before="160" w:after="60"/>
      </w:pPr>
      <w:r>
        <w:rPr>
          <w:b/>
          <w:color w:val="4B2E83"/>
          <w:sz w:val="23"/>
        </w:rPr>
        <w:t>Wat u stuurt</w:t>
      </w:r>
    </w:p>
    <w:p>
      <w:pPr>
        <w:spacing w:after="80"/>
      </w:pPr>
      <w:r>
        <w:t>Stuur het volgende naar claims@ansvar.eu met "Restricted source" in het onderwerp:</w:t>
      </w:r>
    </w:p>
    <w:p>
      <w:pPr>
        <w:pStyle w:val="ListNumber"/>
        <w:spacing w:after="40"/>
      </w:pPr>
      <w:r>
        <w:t>Bijlage R, ingevuld en ondertekend.</w:t>
      </w:r>
    </w:p>
    <w:p>
      <w:pPr>
        <w:pStyle w:val="ListNumber"/>
        <w:spacing w:after="40"/>
      </w:pPr>
      <w:r>
        <w:t>Uw beoordeling van deze verwerking (een DPIA of gelijkwaardig), of een samenvatting daarvan.</w:t>
      </w:r>
    </w:p>
    <w:p>
      <w:pPr>
        <w:pStyle w:val="ListNumber"/>
        <w:spacing w:after="40"/>
      </w:pPr>
      <w:r>
        <w:t>Een aparte verklaring over uw grondslag, alleen als onderdeel 5 van het formulier uw grondslag niet volledig noemt.</w:t>
      </w:r>
    </w:p>
    <w:p>
      <w:pPr>
        <w:pStyle w:val="ListNumber"/>
        <w:spacing w:after="40"/>
      </w:pPr>
      <w:r>
        <w:t>Optioneel: het oordeel van uw functionaris voor gegevensbescherming over de opdracht. Dat bewaren wij naast onze eigen beoordeling.</w:t>
      </w:r>
    </w:p>
    <w:p>
      <w:pPr>
        <w:keepNext/>
        <w:spacing w:before="160" w:after="60"/>
      </w:pPr>
      <w:r>
        <w:rPr>
          <w:b/>
          <w:color w:val="4B2E83"/>
          <w:sz w:val="23"/>
        </w:rPr>
        <w:t>Wat er daarna gebeurt</w:t>
      </w:r>
    </w:p>
    <w:p>
      <w:pPr>
        <w:pStyle w:val="ListNumber"/>
        <w:spacing w:after="40"/>
      </w:pPr>
      <w:r>
        <w:t>Controle. Wij controleren of het formulier volledig en ondertekend is, of uw beoordeling elke gevraagde collectie, elk gebruik en de reikwijdte dekt, en of onderdeel 5 uw grondslag onder artikel 6 noemt, met een eventuele uitzondering onder artikel 9 of grondslag onder artikel 10. Elke controle leggen wij vast in ons due-diligence-register. Wij beoordelen uw zakelijke behoefte niet. Als een opdracht naar ons oordeel in strijd is met het gegevensbeschermingsrecht, melden wij u dat en kunnen wij de opdracht weigeren.</w:t>
      </w:r>
    </w:p>
    <w:p>
      <w:pPr>
        <w:pStyle w:val="ListNumber"/>
        <w:spacing w:after="40"/>
      </w:pPr>
      <w:r>
        <w:t>Besluit per collectie. Per collectie verlenen wij toegang zoals gevraagd, verlenen wij beperktere toegang (bijvoorbeeld alleen opvragen, of een eerdere einddatum), of weigeren wij. Wij laten u de uitkomst weten, en bij een beperking of weigering de reden.</w:t>
      </w:r>
    </w:p>
    <w:p>
      <w:pPr>
        <w:pStyle w:val="ListNumber"/>
        <w:spacing w:after="40"/>
      </w:pPr>
      <w:r>
        <w:t>Toegang. Wij koppelen de toegang aan de accounts van uw organisatie. Alleen accounts binnen uw organisatie kunnen haar gebruiken. Medewerkers en testaccounts van Ansvar kunnen dat niet, ongeacht hun instellingen. Elk getoond record en elk geweigerd verzoek wordt gelogd met uw organisatie en de toegangscode, nooit met de inhoud.</w:t>
      </w:r>
    </w:p>
    <w:p>
      <w:pPr>
        <w:pStyle w:val="ListNumber"/>
        <w:spacing w:after="40"/>
      </w:pPr>
      <w:r>
        <w:t>Einde. De toegang eindigt op de einddatum in onderdeel 7. Een evaluatiedatum is alleen een herinnering. Wilt u na de einddatum doorgaan, stuur dan een nieuw formulier.</w:t>
      </w:r>
    </w:p>
    <w:p>
      <w:pPr>
        <w:pStyle w:val="ListNumber"/>
        <w:spacing w:after="40"/>
      </w:pPr>
      <w:r>
        <w:t>Intrekking. U kunt de opdracht op elk moment intrekken door ons te schrijven vanaf het contact in onderdeel 8 of door de ondertekenaar. De intrekking werkt vanaf het eerstvolgende verzoek.</w:t>
      </w:r>
    </w:p>
    <w:p>
      <w:pPr>
        <w:pStyle w:val="ListNumber"/>
        <w:spacing w:after="40"/>
      </w:pPr>
      <w:r>
        <w:t>Verwijderingsbewijs. Binnen tien werkdagen na het einde van de toegang halen wij de toegang van uw accounts en verwijderen wij, bij zoeken, uw kopie. U ontvangt een verwijderingsbewijs dat per opslagplaats vermeldt: verwijderd, wacht op het verlopen van de back-up (met datum), of bewaard op grond van een wettelijke verplichting die wij noemen.</w:t>
      </w:r>
    </w:p>
    <w:p>
      <w:r>
        <w:rPr>
          <w:color w:val="444444"/>
          <w:sz w:val="17"/>
        </w:rPr>
        <w:t>Vragen: claims@ansvar.eu. Ansvar Systems AB, 559547-2225, Ingemarsboda 565, 841 74 Fränsta, Zweden.</w:t>
      </w:r>
    </w:p>
    <w:p>
      <w:r>
        <w:br w:type="page"/>
      </w:r>
    </w:p>
    <w:p>
      <w:pPr>
        <w:spacing w:after="40"/>
      </w:pPr>
      <w:r>
        <w:rPr>
          <w:b/>
          <w:color w:val="4B2E83"/>
          <w:sz w:val="32"/>
        </w:rPr>
        <w:t>Bijlage R: Opdracht voor afgeschermde collecties</w:t>
      </w:r>
    </w:p>
    <w:p>
      <w:r>
        <w:rPr>
          <w:i/>
          <w:sz w:val="18"/>
        </w:rPr>
        <w:t>Bijlage bij de verwerkersovereenkomst tussen de Klant en Ansvar Systems AB. Formulierversie R-2026-09-23.2.</w:t>
      </w:r>
    </w:p>
    <w:p>
      <w:pPr>
        <w:spacing w:after="80"/>
      </w:pPr>
      <w:r>
        <w:t>Deze bijlage is de schriftelijke opdracht van de Klant onder de verwerkersovereenkomst die op ansvar.eu/dpa is gepubliceerd (de "verwerkersovereenkomst"), in de versie die de Klant heeft aanvaard. De verwerkersovereenkomst wordt niet gewijzigd. Voor de collecties in onderdeel 3 is de Klant de verwerkingsverantwoordelijke en Ansvar de verwerker, en Ansvar verwerkt ze alleen volgens deze bijlage. De bepalingen van de verwerkersovereenkomst over subverwerkers, inbreuken in verband met persoonsgegevens, bijstand bij verzoeken van betrokkenen, audits, teruggave of verwijdering en aansprakelijkheid gelden voor deze verwerking. Waar deze bijlage een kortere verwijdertermijn noemt dan de verwerkersovereenkomst, geldt de kortere termijn. De clausuletabel die in het vak aan het einde van dit formulier staat, noemt per bepaling van deze bijlage de bepaling van de verwerkersovereenkomst waarop zij steunt en welke van de twee geldt als zij verschillen.</w:t>
      </w:r>
    </w:p>
    <w:p>
      <w:pPr>
        <w:keepNext/>
        <w:spacing w:before="160" w:after="60"/>
      </w:pPr>
      <w:r>
        <w:rPr>
          <w:b/>
          <w:color w:val="4B2E83"/>
          <w:sz w:val="23"/>
        </w:rPr>
        <w:t>1. Partijen</w:t>
      </w:r>
    </w:p>
    <w:tbl>
      <w:tblPr>
        <w:tblStyle w:val="TableGrid"/>
        <w:tblW w:type="auto" w:w="0"/>
        <w:tblLayout w:type="fixed"/>
        <w:tblLook w:firstColumn="1" w:firstRow="1" w:lastColumn="0" w:lastRow="0" w:noHBand="0" w:noVBand="1" w:val="04A0"/>
      </w:tblPr>
      <w:tblGrid>
        <w:gridCol w:w="4819"/>
        <w:gridCol w:w="4819"/>
      </w:tblGrid>
      <w:tr>
        <w:trPr>
          <w:trHeight w:val="454"/>
        </w:trPr>
        <w:tc>
          <w:tcPr>
            <w:tcW w:type="dxa" w:w="3969"/>
            <w:shd w:val="clear" w:color="auto" w:fill="F1ECF8"/>
          </w:tcPr>
          <w:p>
            <w:r>
              <w:rPr>
                <w:b/>
                <w:sz w:val="19"/>
              </w:rPr>
              <w:t>Klant (verwerkingsverantwoordelijke): naam van de rechtspersoon</w:t>
            </w:r>
          </w:p>
        </w:tc>
        <w:tc>
          <w:tcPr>
            <w:tcW w:type="dxa" w:w="5669"/>
          </w:tcPr>
          <w:p/>
        </w:tc>
      </w:tr>
      <w:tr>
        <w:trPr>
          <w:trHeight w:val="454"/>
        </w:trPr>
        <w:tc>
          <w:tcPr>
            <w:tcW w:type="dxa" w:w="3969"/>
            <w:shd w:val="clear" w:color="auto" w:fill="F1ECF8"/>
          </w:tcPr>
          <w:p>
            <w:r>
              <w:rPr>
                <w:b/>
                <w:sz w:val="19"/>
              </w:rPr>
              <w:t>Registratienummer (KvK)</w:t>
            </w:r>
          </w:p>
        </w:tc>
        <w:tc>
          <w:tcPr>
            <w:tcW w:type="dxa" w:w="5669"/>
          </w:tcPr>
          <w:p/>
        </w:tc>
      </w:tr>
      <w:tr>
        <w:trPr>
          <w:trHeight w:val="454"/>
        </w:trPr>
        <w:tc>
          <w:tcPr>
            <w:tcW w:type="dxa" w:w="3969"/>
            <w:shd w:val="clear" w:color="auto" w:fill="F1ECF8"/>
          </w:tcPr>
          <w:p>
            <w:r>
              <w:rPr>
                <w:b/>
                <w:sz w:val="19"/>
              </w:rPr>
              <w:t>Statutair adres</w:t>
            </w:r>
          </w:p>
        </w:tc>
        <w:tc>
          <w:tcPr>
            <w:tcW w:type="dxa" w:w="5669"/>
          </w:tcPr>
          <w:p/>
        </w:tc>
      </w:tr>
      <w:tr>
        <w:trPr>
          <w:trHeight w:val="454"/>
        </w:trPr>
        <w:tc>
          <w:tcPr>
            <w:tcW w:type="dxa" w:w="3969"/>
            <w:shd w:val="clear" w:color="auto" w:fill="F1ECF8"/>
          </w:tcPr>
          <w:p>
            <w:r>
              <w:rPr>
                <w:b/>
                <w:sz w:val="19"/>
              </w:rPr>
              <w:t>Functie van de ondertekenaar</w:t>
            </w:r>
          </w:p>
        </w:tc>
        <w:tc>
          <w:tcPr>
            <w:tcW w:type="dxa" w:w="5669"/>
          </w:tcPr>
          <w:p/>
        </w:tc>
      </w:tr>
    </w:tbl>
    <w:p>
      <w:pPr>
        <w:spacing w:after="0"/>
      </w:pPr>
    </w:p>
    <w:tbl>
      <w:tblPr>
        <w:tblStyle w:val="TableGrid"/>
        <w:tblW w:type="auto" w:w="0"/>
        <w:tblLayout w:type="fixed"/>
        <w:tblLook w:firstColumn="1" w:firstRow="1" w:lastColumn="0" w:lastRow="0" w:noHBand="0" w:noVBand="1" w:val="04A0"/>
      </w:tblPr>
      <w:tblGrid>
        <w:gridCol w:w="4819"/>
        <w:gridCol w:w="4819"/>
      </w:tblGrid>
      <w:tr>
        <w:tc>
          <w:tcPr>
            <w:tcW w:type="dxa" w:w="3969"/>
            <w:shd w:val="clear" w:color="auto" w:fill="F1ECF8"/>
          </w:tcPr>
          <w:p>
            <w:r>
              <w:rPr>
                <w:b/>
                <w:sz w:val="19"/>
              </w:rPr>
              <w:t>Ansvar (verwerker)</w:t>
            </w:r>
          </w:p>
        </w:tc>
        <w:tc>
          <w:tcPr>
            <w:tcW w:type="dxa" w:w="5669"/>
          </w:tcPr>
          <w:p>
            <w:r>
              <w:rPr>
                <w:b w:val="0"/>
                <w:sz w:val="19"/>
              </w:rPr>
              <w:t>Ansvar Systems AB, 559547-2225, Ingemarsboda 565, 841 74 Fränsta, Zweden</w:t>
            </w:r>
          </w:p>
        </w:tc>
      </w:tr>
    </w:tbl>
    <w:p>
      <w:pPr>
        <w:spacing w:after="0"/>
      </w:pPr>
    </w:p>
    <w:p>
      <w:pPr>
        <w:keepNext/>
        <w:spacing w:before="160" w:after="60"/>
      </w:pPr>
      <w:r>
        <w:rPr>
          <w:b/>
          <w:color w:val="4B2E83"/>
          <w:sz w:val="23"/>
        </w:rPr>
        <w:t>2. Verwerkersovereenkomst</w:t>
      </w:r>
    </w:p>
    <w:tbl>
      <w:tblPr>
        <w:tblStyle w:val="TableGrid"/>
        <w:tblW w:type="auto" w:w="0"/>
        <w:tblLayout w:type="fixed"/>
        <w:tblLook w:firstColumn="1" w:firstRow="1" w:lastColumn="0" w:lastRow="0" w:noHBand="0" w:noVBand="1" w:val="04A0"/>
      </w:tblPr>
      <w:tblGrid>
        <w:gridCol w:w="4819"/>
        <w:gridCol w:w="4819"/>
      </w:tblGrid>
      <w:tr>
        <w:trPr>
          <w:trHeight w:val="454"/>
        </w:trPr>
        <w:tc>
          <w:tcPr>
            <w:tcW w:type="dxa" w:w="3969"/>
            <w:shd w:val="clear" w:color="auto" w:fill="F1ECF8"/>
          </w:tcPr>
          <w:p>
            <w:r>
              <w:rPr>
                <w:b/>
                <w:sz w:val="19"/>
              </w:rPr>
              <w:t>Versie van de verwerkersovereenkomst die de Klant heeft aanvaard (zoals vermeld op ansvar.eu/dpa)</w:t>
            </w:r>
          </w:p>
        </w:tc>
        <w:tc>
          <w:tcPr>
            <w:tcW w:type="dxa" w:w="5669"/>
          </w:tcPr>
          <w:p/>
        </w:tc>
      </w:tr>
    </w:tbl>
    <w:p>
      <w:pPr>
        <w:spacing w:after="0"/>
      </w:pPr>
    </w:p>
    <w:p>
      <w:pPr>
        <w:keepNext/>
        <w:spacing w:before="160" w:after="60"/>
      </w:pPr>
      <w:r>
        <w:rPr>
          <w:b/>
          <w:color w:val="4B2E83"/>
          <w:sz w:val="23"/>
        </w:rPr>
        <w:t>3. Collecties en gebruik</w:t>
      </w:r>
    </w:p>
    <w:tbl>
      <w:tblPr>
        <w:tblStyle w:val="TableGrid"/>
        <w:tblW w:type="auto" w:w="0"/>
        <w:tblLayout w:type="fixed"/>
        <w:tblLook w:firstColumn="1" w:firstRow="1" w:lastColumn="0" w:lastRow="0" w:noHBand="0" w:noVBand="1" w:val="04A0"/>
      </w:tblPr>
      <w:tblGrid>
        <w:gridCol w:w="2409"/>
        <w:gridCol w:w="2409"/>
        <w:gridCol w:w="2409"/>
        <w:gridCol w:w="2409"/>
      </w:tblGrid>
      <w:tr>
        <w:tc>
          <w:tcPr>
            <w:tcW w:type="dxa" w:w="2381"/>
            <w:shd w:val="clear" w:color="auto" w:fill="F1ECF8"/>
          </w:tcPr>
          <w:p>
            <w:r>
              <w:rPr>
                <w:b/>
                <w:sz w:val="18"/>
              </w:rPr>
              <w:t>Collectie-ID (zoals Ansvar die vermeldt)</w:t>
            </w:r>
          </w:p>
        </w:tc>
        <w:tc>
          <w:tcPr>
            <w:tcW w:type="dxa" w:w="2608"/>
            <w:shd w:val="clear" w:color="auto" w:fill="F1ECF8"/>
          </w:tcPr>
          <w:p>
            <w:r>
              <w:rPr>
                <w:b/>
                <w:sz w:val="18"/>
              </w:rPr>
              <w:t>Naam van de collectie</w:t>
            </w:r>
          </w:p>
        </w:tc>
        <w:tc>
          <w:tcPr>
            <w:tcW w:type="dxa" w:w="2381"/>
            <w:shd w:val="clear" w:color="auto" w:fill="F1ECF8"/>
          </w:tcPr>
          <w:p>
            <w:r>
              <w:rPr>
                <w:b/>
                <w:sz w:val="18"/>
              </w:rPr>
              <w:t>Gebruik (één of beide aankruisen)</w:t>
            </w:r>
          </w:p>
        </w:tc>
        <w:tc>
          <w:tcPr>
            <w:tcW w:type="dxa" w:w="2268"/>
            <w:shd w:val="clear" w:color="auto" w:fill="F1ECF8"/>
          </w:tcPr>
          <w:p>
            <w:r>
              <w:rPr>
                <w:b/>
                <w:sz w:val="18"/>
              </w:rPr>
              <w:t>Reikwijdte</w:t>
            </w:r>
          </w:p>
        </w:tc>
      </w:tr>
      <w:tr>
        <w:trPr>
          <w:trHeight w:val="737"/>
        </w:trPr>
        <w:tc>
          <w:tcPr>
            <w:tcW w:type="dxa" w:w="2381"/>
          </w:tcPr>
          <w:p/>
        </w:tc>
        <w:tc>
          <w:tcPr>
            <w:tcW w:type="dxa" w:w="2608"/>
          </w:tcPr>
          <w:p/>
        </w:tc>
        <w:tc>
          <w:tcPr>
            <w:tcW w:type="dxa" w:w="2381"/>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Opvragen op uitspraak-ID</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Zoeken</w:t>
            </w:r>
          </w:p>
        </w:tc>
        <w:tc>
          <w:tcPr>
            <w:tcW w:type="dxa" w:w="2268"/>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Hele collectie</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Deel: __________</w:t>
            </w:r>
          </w:p>
        </w:tc>
      </w:tr>
      <w:tr>
        <w:trPr>
          <w:trHeight w:val="737"/>
        </w:trPr>
        <w:tc>
          <w:tcPr>
            <w:tcW w:type="dxa" w:w="2381"/>
          </w:tcPr>
          <w:p/>
        </w:tc>
        <w:tc>
          <w:tcPr>
            <w:tcW w:type="dxa" w:w="2608"/>
          </w:tcPr>
          <w:p/>
        </w:tc>
        <w:tc>
          <w:tcPr>
            <w:tcW w:type="dxa" w:w="2381"/>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Opvragen op uitspraak-ID</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Zoeken</w:t>
            </w:r>
          </w:p>
        </w:tc>
        <w:tc>
          <w:tcPr>
            <w:tcW w:type="dxa" w:w="2268"/>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Hele collectie</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Deel: __________</w:t>
            </w:r>
          </w:p>
        </w:tc>
      </w:tr>
      <w:tr>
        <w:trPr>
          <w:trHeight w:val="737"/>
        </w:trPr>
        <w:tc>
          <w:tcPr>
            <w:tcW w:type="dxa" w:w="2381"/>
          </w:tcPr>
          <w:p/>
        </w:tc>
        <w:tc>
          <w:tcPr>
            <w:tcW w:type="dxa" w:w="2608"/>
          </w:tcPr>
          <w:p/>
        </w:tc>
        <w:tc>
          <w:tcPr>
            <w:tcW w:type="dxa" w:w="2381"/>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Opvragen op uitspraak-ID</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Zoeken</w:t>
            </w:r>
          </w:p>
        </w:tc>
        <w:tc>
          <w:tcPr>
            <w:tcW w:type="dxa" w:w="2268"/>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Hele collectie</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Deel: __________</w:t>
            </w:r>
          </w:p>
        </w:tc>
      </w:tr>
      <w:tr>
        <w:trPr>
          <w:trHeight w:val="737"/>
        </w:trPr>
        <w:tc>
          <w:tcPr>
            <w:tcW w:type="dxa" w:w="2381"/>
          </w:tcPr>
          <w:p/>
        </w:tc>
        <w:tc>
          <w:tcPr>
            <w:tcW w:type="dxa" w:w="2608"/>
          </w:tcPr>
          <w:p/>
        </w:tc>
        <w:tc>
          <w:tcPr>
            <w:tcW w:type="dxa" w:w="2381"/>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Opvragen op uitspraak-ID</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Zoeken</w:t>
            </w:r>
          </w:p>
        </w:tc>
        <w:tc>
          <w:tcPr>
            <w:tcW w:type="dxa" w:w="2268"/>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Hele collectie</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Deel: __________</w:t>
            </w:r>
          </w:p>
        </w:tc>
      </w:tr>
    </w:tbl>
    <w:p>
      <w:pPr>
        <w:spacing w:after="0"/>
      </w:pPr>
    </w:p>
    <w:p>
      <w:r>
        <w:rPr>
          <w:color w:val="444444"/>
          <w:sz w:val="17"/>
        </w:rPr>
        <w:t>Opvragen: als uw agent één uitspraak opvraagt op haar identificatie (bijvoorbeeld een ECLI of zaaknummer), halen wij die op dat moment op bij de officiële uitgever en bewaren wij geen kopie. Zoeken: wij houden een doorzoekbare kopie van de collectie aan, alleen voor uw organisatie. Het ene gebruik omvat het andere niet.</w:t>
      </w:r>
    </w:p>
    <w:p>
      <w:pPr>
        <w:keepNext/>
        <w:spacing w:before="160" w:after="60"/>
      </w:pPr>
      <w:r>
        <w:rPr>
          <w:b/>
          <w:color w:val="4B2E83"/>
          <w:sz w:val="23"/>
        </w:rPr>
        <w:t>4. Doel</w:t>
      </w:r>
    </w:p>
    <w:tbl>
      <w:tblPr>
        <w:tblStyle w:val="TableGrid"/>
        <w:tblW w:type="auto" w:w="0"/>
        <w:tblLayout w:type="fixed"/>
        <w:tblLook w:firstColumn="1" w:firstRow="1" w:lastColumn="0" w:lastRow="0" w:noHBand="0" w:noVBand="1" w:val="04A0"/>
      </w:tblPr>
      <w:tblGrid>
        <w:gridCol w:w="4819"/>
        <w:gridCol w:w="4819"/>
      </w:tblGrid>
      <w:tr>
        <w:trPr>
          <w:trHeight w:val="454"/>
        </w:trPr>
        <w:tc>
          <w:tcPr>
            <w:tcW w:type="dxa" w:w="3969"/>
            <w:shd w:val="clear" w:color="auto" w:fill="F1ECF8"/>
          </w:tcPr>
          <w:p>
            <w:r>
              <w:rPr>
                <w:b/>
                <w:sz w:val="19"/>
              </w:rPr>
              <w:t>Waarvoor de Klant deze collecties gebruikt</w:t>
            </w:r>
          </w:p>
        </w:tc>
        <w:tc>
          <w:tcPr>
            <w:tcW w:type="dxa" w:w="5669"/>
          </w:tcPr>
          <w:p/>
        </w:tc>
      </w:tr>
    </w:tbl>
    <w:p>
      <w:pPr>
        <w:spacing w:after="0"/>
      </w:pPr>
    </w:p>
    <w:p>
      <w:pPr>
        <w:keepNext/>
        <w:spacing w:before="160" w:after="60"/>
      </w:pPr>
      <w:r>
        <w:rPr>
          <w:b/>
          <w:color w:val="4B2E83"/>
          <w:sz w:val="23"/>
        </w:rPr>
        <w:t>5. Grondslag voor de collecties, het gebruik en de reikwijdte in onderdeel 3</w:t>
      </w:r>
    </w:p>
    <w:p>
      <w:pPr>
        <w:spacing w:after="80"/>
      </w:pPr>
      <w:r>
        <w:t>Artikel 6, lid 1, AVG (één of meer aankruisen):</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(b) de uitvoering van een overeenkomst waarbij de betrokkene partij is</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(c) een wettelijke verplichting van de Klant:</w:t>
      </w:r>
      <w:r>
        <w:t xml:space="preserve"> ________________________________________</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(e) een taak van algemeen belang of in het kader van de uitoefening van openbaar gezag:</w:t>
      </w:r>
      <w:r>
        <w:t xml:space="preserve"> ________________________________________</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(f) gerechtvaardigd belang; de belangenafweging maakt deel uit van de beoordeling in onderdeel 6</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Anders:</w:t>
      </w:r>
      <w:r>
        <w:t xml:space="preserve"> ________________________________________</w:t>
      </w:r>
    </w:p>
    <w:p>
      <w:pPr>
        <w:spacing w:after="80"/>
      </w:pPr>
      <w:r>
        <w:t>Artikel 9 AVG (bijzondere categorieën, zoals gezondheidsgegevens):</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Niet van toepassing: de reikwijdte in onderdeel 3 omvat geen bijzondere persoonsgegevens</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9, lid 2, onder f: de instelling, uitoefening of onderbouwing van een rechtsvordering</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9, lid 2, onder g: zwaarwegend algemeen belang, op grond van:</w:t>
      </w:r>
      <w:r>
        <w:t xml:space="preserve"> ________________________________________</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Anders:</w:t>
      </w:r>
      <w:r>
        <w:t xml:space="preserve"> ________________________________________</w:t>
      </w:r>
    </w:p>
    <w:p>
      <w:pPr>
        <w:spacing w:after="80"/>
      </w:pPr>
      <w:r>
        <w:t>Artikel 10 AVG (strafrechtelijke veroordelingen en strafbare feiten):</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Niet van toepassing: de reikwijdte in onderdeel 3 omvat geen strafrechtelijke gegevens</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Toegestaan bij Unierecht of lidstatelijk recht (noem de bepaling):</w:t>
      </w:r>
      <w:r>
        <w:t xml:space="preserve"> ________________________________________</w:t>
      </w:r>
    </w:p>
    <w:p>
      <w:pPr>
        <w:keepNext/>
        <w:spacing w:before="160" w:after="60"/>
      </w:pPr>
      <w:r>
        <w:rPr>
          <w:b/>
          <w:color w:val="4B2E83"/>
          <w:sz w:val="23"/>
        </w:rPr>
        <w:t>6. Beoordeling</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De Klant heeft deze verwerking beoordeeld (een DPIA of gelijkwaardig) voor de collecties, het gebruik en de reikwijdte in onderdeel 3.</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De beoordeling, of een samenvatting daarvan, is bijgevoegd. De Klant geeft Ansvar op verzoek de volledige beoordeling.</w:t>
      </w:r>
    </w:p>
    <w:tbl>
      <w:tblPr>
        <w:tblStyle w:val="TableGrid"/>
        <w:tblW w:type="auto" w:w="0"/>
        <w:tblLayout w:type="fixed"/>
        <w:tblLook w:firstColumn="1" w:firstRow="1" w:lastColumn="0" w:lastRow="0" w:noHBand="0" w:noVBand="1" w:val="04A0"/>
      </w:tblPr>
      <w:tblGrid>
        <w:gridCol w:w="4819"/>
        <w:gridCol w:w="4819"/>
      </w:tblGrid>
      <w:tr>
        <w:trPr>
          <w:trHeight w:val="454"/>
        </w:trPr>
        <w:tc>
          <w:tcPr>
            <w:tcW w:type="dxa" w:w="3969"/>
            <w:shd w:val="clear" w:color="auto" w:fill="F1ECF8"/>
          </w:tcPr>
          <w:p>
            <w:r>
              <w:rPr>
                <w:b/>
                <w:sz w:val="19"/>
              </w:rPr>
              <w:t>Kenmerk en datum van de beoordeling</w:t>
            </w:r>
          </w:p>
        </w:tc>
        <w:tc>
          <w:tcPr>
            <w:tcW w:type="dxa" w:w="5669"/>
          </w:tcPr>
          <w:p/>
        </w:tc>
      </w:tr>
    </w:tbl>
    <w:p>
      <w:pPr>
        <w:spacing w:after="0"/>
      </w:pPr>
    </w:p>
    <w:p>
      <w:pPr>
        <w:keepNext/>
        <w:spacing w:before="160" w:after="60"/>
      </w:pPr>
      <w:r>
        <w:rPr>
          <w:b/>
          <w:color w:val="4B2E83"/>
          <w:sz w:val="23"/>
        </w:rPr>
        <w:t>7. Bewaartermijn en looptijd</w:t>
      </w:r>
    </w:p>
    <w:tbl>
      <w:tblPr>
        <w:tblStyle w:val="TableGrid"/>
        <w:tblW w:type="auto" w:w="0"/>
        <w:tblLayout w:type="fixed"/>
        <w:tblLook w:firstColumn="1" w:firstRow="1" w:lastColumn="0" w:lastRow="0" w:noHBand="0" w:noVBand="1" w:val="04A0"/>
      </w:tblPr>
      <w:tblGrid>
        <w:gridCol w:w="4819"/>
        <w:gridCol w:w="4819"/>
      </w:tblGrid>
      <w:tr>
        <w:trPr>
          <w:trHeight w:val="454"/>
        </w:trPr>
        <w:tc>
          <w:tcPr>
            <w:tcW w:type="dxa" w:w="3969"/>
            <w:shd w:val="clear" w:color="auto" w:fill="F1ECF8"/>
          </w:tcPr>
          <w:p>
            <w:r>
              <w:rPr>
                <w:b/>
                <w:sz w:val="19"/>
              </w:rPr>
              <w:t>Hoe lang de Klant inhoud uit deze collecties bewaart</w:t>
            </w:r>
          </w:p>
        </w:tc>
        <w:tc>
          <w:tcPr>
            <w:tcW w:type="dxa" w:w="5669"/>
          </w:tcPr>
          <w:p/>
        </w:tc>
      </w:tr>
      <w:tr>
        <w:trPr>
          <w:trHeight w:val="454"/>
        </w:trPr>
        <w:tc>
          <w:tcPr>
            <w:tcW w:type="dxa" w:w="3969"/>
            <w:shd w:val="clear" w:color="auto" w:fill="F1ECF8"/>
          </w:tcPr>
          <w:p>
            <w:r>
              <w:rPr>
                <w:b/>
                <w:sz w:val="19"/>
              </w:rPr>
              <w:t>Startdatum</w:t>
            </w:r>
          </w:p>
        </w:tc>
        <w:tc>
          <w:tcPr>
            <w:tcW w:type="dxa" w:w="5669"/>
          </w:tcPr>
          <w:p/>
        </w:tc>
      </w:tr>
      <w:tr>
        <w:trPr>
          <w:trHeight w:val="454"/>
        </w:trPr>
        <w:tc>
          <w:tcPr>
            <w:tcW w:type="dxa" w:w="3969"/>
            <w:shd w:val="clear" w:color="auto" w:fill="F1ECF8"/>
          </w:tcPr>
          <w:p>
            <w:r>
              <w:rPr>
                <w:b/>
                <w:sz w:val="19"/>
              </w:rPr>
              <w:t>Einddatum (toegang eindigt)</w:t>
            </w:r>
          </w:p>
        </w:tc>
        <w:tc>
          <w:tcPr>
            <w:tcW w:type="dxa" w:w="5669"/>
          </w:tcPr>
          <w:p/>
        </w:tc>
      </w:tr>
      <w:tr>
        <w:trPr>
          <w:trHeight w:val="454"/>
        </w:trPr>
        <w:tc>
          <w:tcPr>
            <w:tcW w:type="dxa" w:w="3969"/>
            <w:shd w:val="clear" w:color="auto" w:fill="F1ECF8"/>
          </w:tcPr>
          <w:p>
            <w:r>
              <w:rPr>
                <w:b/>
                <w:sz w:val="19"/>
              </w:rPr>
              <w:t>Evaluatiedatum (optioneel; een herinnering, geen einddatum)</w:t>
            </w:r>
          </w:p>
        </w:tc>
        <w:tc>
          <w:tcPr>
            <w:tcW w:type="dxa" w:w="5669"/>
          </w:tcPr>
          <w:p/>
        </w:tc>
      </w:tr>
    </w:tbl>
    <w:p>
      <w:pPr>
        <w:spacing w:after="0"/>
      </w:pPr>
    </w:p>
    <w:p>
      <w:r>
        <w:rPr>
          <w:color w:val="444444"/>
          <w:sz w:val="17"/>
        </w:rPr>
        <w:t>De kant van Ansvar staat vast. Opvragen: geen kopie, geen cache en geen inhoud in logs; verzoeklogs bevatten alleen identificaties en tijdstippen. Zoeken: één kopie alleen voor de Klant, met de ruwe antwoorden van de uitgever als herkomstbewijs, alles met versies en replica's verwijderd binnen tien werkdagen na het einde van de toegang; back-ups verlopen na de termijn die Ansvar invult in het vak aan het einde van dit formulier.</w:t>
      </w:r>
    </w:p>
    <w:p>
      <w:pPr>
        <w:keepNext/>
        <w:spacing w:before="160" w:after="60"/>
      </w:pPr>
      <w:r>
        <w:rPr>
          <w:b/>
          <w:color w:val="4B2E83"/>
          <w:sz w:val="23"/>
        </w:rPr>
        <w:t>8. Contact voor intrekking en verwijdering</w:t>
      </w:r>
    </w:p>
    <w:tbl>
      <w:tblPr>
        <w:tblStyle w:val="TableGrid"/>
        <w:tblW w:type="auto" w:w="0"/>
        <w:tblLayout w:type="fixed"/>
        <w:tblLook w:firstColumn="1" w:firstRow="1" w:lastColumn="0" w:lastRow="0" w:noHBand="0" w:noVBand="1" w:val="04A0"/>
      </w:tblPr>
      <w:tblGrid>
        <w:gridCol w:w="4819"/>
        <w:gridCol w:w="4819"/>
      </w:tblGrid>
      <w:tr>
        <w:trPr>
          <w:trHeight w:val="454"/>
        </w:trPr>
        <w:tc>
          <w:tcPr>
            <w:tcW w:type="dxa" w:w="3969"/>
            <w:shd w:val="clear" w:color="auto" w:fill="F1ECF8"/>
          </w:tcPr>
          <w:p>
            <w:r>
              <w:rPr>
                <w:b/>
                <w:sz w:val="19"/>
              </w:rPr>
              <w:t>Functie of team</w:t>
            </w:r>
          </w:p>
        </w:tc>
        <w:tc>
          <w:tcPr>
            <w:tcW w:type="dxa" w:w="5669"/>
          </w:tcPr>
          <w:p/>
        </w:tc>
      </w:tr>
      <w:tr>
        <w:trPr>
          <w:trHeight w:val="454"/>
        </w:trPr>
        <w:tc>
          <w:tcPr>
            <w:tcW w:type="dxa" w:w="3969"/>
            <w:shd w:val="clear" w:color="auto" w:fill="F1ECF8"/>
          </w:tcPr>
          <w:p>
            <w:r>
              <w:rPr>
                <w:b/>
                <w:sz w:val="19"/>
              </w:rPr>
              <w:t>E-mail (bij voorkeur een gedeelde mailbox)</w:t>
            </w:r>
          </w:p>
        </w:tc>
        <w:tc>
          <w:tcPr>
            <w:tcW w:type="dxa" w:w="5669"/>
          </w:tcPr>
          <w:p/>
        </w:tc>
      </w:tr>
      <w:tr>
        <w:trPr>
          <w:trHeight w:val="454"/>
        </w:trPr>
        <w:tc>
          <w:tcPr>
            <w:tcW w:type="dxa" w:w="3969"/>
            <w:shd w:val="clear" w:color="auto" w:fill="F1ECF8"/>
          </w:tcPr>
          <w:p>
            <w:r>
              <w:rPr>
                <w:b/>
                <w:sz w:val="19"/>
              </w:rPr>
              <w:t>Telefoon (optioneel)</w:t>
            </w:r>
          </w:p>
        </w:tc>
        <w:tc>
          <w:tcPr>
            <w:tcW w:type="dxa" w:w="5669"/>
          </w:tcPr>
          <w:p/>
        </w:tc>
      </w:tr>
    </w:tbl>
    <w:p>
      <w:pPr>
        <w:spacing w:after="0"/>
      </w:pPr>
    </w:p>
    <w:p>
      <w:r>
        <w:rPr>
          <w:color w:val="444444"/>
          <w:sz w:val="17"/>
        </w:rPr>
        <w:t>Ansvar aanvaardt een intrekking van dit contact of van de ondertekenaar, en stuurt het verwijderingsbewijs naar dit contact.</w:t>
      </w:r>
    </w:p>
    <w:p>
      <w:pPr>
        <w:keepNext/>
        <w:spacing w:before="160" w:after="60"/>
      </w:pPr>
      <w:r>
        <w:rPr>
          <w:b/>
          <w:color w:val="4B2E83"/>
          <w:sz w:val="23"/>
        </w:rPr>
        <w:t>9. Wat Ansvar voor deze collecties doet</w:t>
      </w:r>
    </w:p>
    <w:p>
      <w:pPr>
        <w:pStyle w:val="ListBullet"/>
        <w:spacing w:after="40"/>
      </w:pPr>
      <w:r>
        <w:t>Haalt ze alleen op bij de officiële uitgever, nooit bij een spiegel of verzamelaar.</w:t>
      </w:r>
    </w:p>
    <w:p>
      <w:pPr>
        <w:pStyle w:val="ListBullet"/>
        <w:spacing w:after="40"/>
      </w:pPr>
      <w:r>
        <w:t>Stelt ze alleen beschikbaar aan accounts van de organisatie van de Klant die de toegang hebben, en controleert de toegang bij elk verzoek. Eigen medewerkers, serviceaccounts en testprobes van Ansvar worden geweigerd.</w:t>
      </w:r>
    </w:p>
    <w:p>
      <w:pPr>
        <w:pStyle w:val="ListBullet"/>
        <w:spacing w:after="40"/>
      </w:pPr>
      <w:r>
        <w:t>Past de regels voor dataminimalisatie toe die per collectie zijn vastgelegd en voegt geen redactionele inhoud toe.</w:t>
      </w:r>
    </w:p>
    <w:p>
      <w:pPr>
        <w:pStyle w:val="ListBullet"/>
        <w:spacing w:after="40"/>
      </w:pPr>
      <w:r>
        <w:t>Logt elke toegang, intrekking, elk getoond record en elk geweigerd verzoek met de organisatie van de Klant en de toegangscode, nooit met de inhoud.</w:t>
      </w:r>
    </w:p>
    <w:p>
      <w:pPr>
        <w:pStyle w:val="ListBullet"/>
        <w:spacing w:after="40"/>
      </w:pPr>
      <w:r>
        <w:t>Gebruikt de collecties niet om modellen te trainen, om andere producten te bouwen of om anderen te bedienen onder deze opdracht.</w:t>
      </w:r>
    </w:p>
    <w:p>
      <w:pPr>
        <w:pStyle w:val="ListBullet"/>
        <w:spacing w:after="40"/>
      </w:pPr>
      <w:r>
        <w:t>Verwerkt ze uitsluitend in de EER.</w:t>
      </w:r>
    </w:p>
    <w:p>
      <w:pPr>
        <w:pStyle w:val="ListBullet"/>
        <w:spacing w:after="40"/>
      </w:pPr>
      <w:r>
        <w:t>Meldt de Klant onverwijld als een opdracht naar het oordeel van Ansvar in strijd is met het gegevensbeschermingsrecht (artikel 28, lid 3, AVG), en kan die opdracht weigeren.</w:t>
      </w:r>
    </w:p>
    <w:p>
      <w:pPr>
        <w:spacing w:after="80"/>
      </w:pPr>
      <w:r>
        <w:t>De Klant blijft verantwoordelijk voor het eigen gebruik van de inhoud, voor het informeren van betrokkenen waar dat nodig is en voor verzoeken van betrokkenen die de Klant ontvangt. Ansvar stuurt zo'n verzoek dat Ansvar ontvangt door naar het contact in onderdeel 8 en verleent bijstand zoals de verwerkersovereenkomst bepaalt.</w:t>
      </w:r>
    </w:p>
    <w:p>
      <w:pPr>
        <w:keepNext/>
        <w:spacing w:before="160" w:after="60"/>
      </w:pPr>
      <w:r>
        <w:rPr>
          <w:b/>
          <w:color w:val="4B2E83"/>
          <w:sz w:val="23"/>
        </w:rPr>
        <w:t>10. Ondertekening</w:t>
      </w:r>
    </w:p>
    <w:tbl>
      <w:tblPr>
        <w:tblStyle w:val="TableGrid"/>
        <w:tblW w:type="auto" w:w="0"/>
        <w:tblLayout w:type="fixed"/>
        <w:tblLook w:firstColumn="1" w:firstRow="1" w:lastColumn="0" w:lastRow="0" w:noHBand="0" w:noVBand="1" w:val="04A0"/>
      </w:tblPr>
      <w:tblGrid>
        <w:gridCol w:w="3213"/>
        <w:gridCol w:w="3213"/>
        <w:gridCol w:w="3213"/>
      </w:tblGrid>
      <w:tr>
        <w:tc>
          <w:tcPr>
            <w:tcW w:type="dxa" w:w="1928"/>
            <w:shd w:val="clear" w:color="auto" w:fill="F1ECF8"/>
          </w:tcPr>
          <w:p>
            <w:r>
              <w:rPr>
                <w:b/>
                <w:sz w:val="19"/>
              </w:rPr>
            </w:r>
          </w:p>
        </w:tc>
        <w:tc>
          <w:tcPr>
            <w:tcW w:type="dxa" w:w="3855"/>
            <w:shd w:val="clear" w:color="auto" w:fill="F1ECF8"/>
          </w:tcPr>
          <w:p>
            <w:r>
              <w:rPr>
                <w:b/>
                <w:sz w:val="19"/>
              </w:rPr>
              <w:t>Voor de Klant</w:t>
            </w:r>
          </w:p>
        </w:tc>
        <w:tc>
          <w:tcPr>
            <w:tcW w:type="dxa" w:w="3855"/>
            <w:shd w:val="clear" w:color="auto" w:fill="F1ECF8"/>
          </w:tcPr>
          <w:p>
            <w:r>
              <w:rPr>
                <w:b/>
                <w:sz w:val="19"/>
              </w:rPr>
              <w:t>Voor Ansvar Systems AB</w:t>
            </w:r>
          </w:p>
        </w:tc>
      </w:tr>
      <w:tr>
        <w:trPr>
          <w:trHeight w:val="567"/>
        </w:trPr>
        <w:tc>
          <w:tcPr>
            <w:tcW w:type="dxa" w:w="1928"/>
          </w:tcPr>
          <w:p>
            <w:r>
              <w:rPr>
                <w:b/>
                <w:sz w:val="19"/>
              </w:rPr>
              <w:t>Naam</w:t>
            </w:r>
          </w:p>
        </w:tc>
        <w:tc>
          <w:tcPr>
            <w:tcW w:type="dxa" w:w="3855"/>
          </w:tcPr>
          <w:p>
            <w:r>
              <w:rPr>
                <w:b w:val="0"/>
                <w:sz w:val="19"/>
              </w:rPr>
            </w:r>
          </w:p>
        </w:tc>
        <w:tc>
          <w:tcPr>
            <w:tcW w:type="dxa" w:w="3855"/>
          </w:tcPr>
          <w:p>
            <w:r>
              <w:rPr>
                <w:b w:val="0"/>
                <w:sz w:val="19"/>
              </w:rPr>
              <w:t>Jeffrey von Rotz</w:t>
            </w:r>
          </w:p>
        </w:tc>
      </w:tr>
      <w:tr>
        <w:trPr>
          <w:trHeight w:val="567"/>
        </w:trPr>
        <w:tc>
          <w:tcPr>
            <w:tcW w:type="dxa" w:w="1928"/>
          </w:tcPr>
          <w:p>
            <w:r>
              <w:rPr>
                <w:b/>
                <w:sz w:val="19"/>
              </w:rPr>
              <w:t>Functie</w:t>
            </w:r>
          </w:p>
        </w:tc>
        <w:tc>
          <w:tcPr>
            <w:tcW w:type="dxa" w:w="3855"/>
          </w:tcPr>
          <w:p>
            <w:r>
              <w:rPr>
                <w:b w:val="0"/>
                <w:sz w:val="19"/>
              </w:rPr>
            </w:r>
          </w:p>
        </w:tc>
        <w:tc>
          <w:tcPr>
            <w:tcW w:type="dxa" w:w="3855"/>
          </w:tcPr>
          <w:p>
            <w:r>
              <w:rPr>
                <w:b w:val="0"/>
                <w:sz w:val="19"/>
              </w:rPr>
              <w:t>Founder</w:t>
            </w:r>
          </w:p>
        </w:tc>
      </w:tr>
      <w:tr>
        <w:trPr>
          <w:trHeight w:val="567"/>
        </w:trPr>
        <w:tc>
          <w:tcPr>
            <w:tcW w:type="dxa" w:w="1928"/>
          </w:tcPr>
          <w:p>
            <w:r>
              <w:rPr>
                <w:b/>
                <w:sz w:val="19"/>
              </w:rPr>
              <w:t>Datum</w:t>
            </w:r>
          </w:p>
        </w:tc>
        <w:tc>
          <w:tcPr>
            <w:tcW w:type="dxa" w:w="3855"/>
          </w:tcPr>
          <w:p>
            <w:r>
              <w:rPr>
                <w:b w:val="0"/>
                <w:sz w:val="19"/>
              </w:rPr>
            </w:r>
          </w:p>
        </w:tc>
        <w:tc>
          <w:tcPr>
            <w:tcW w:type="dxa" w:w="3855"/>
          </w:tcPr>
          <w:p>
            <w:r>
              <w:rPr>
                <w:b w:val="0"/>
                <w:sz w:val="19"/>
              </w:rPr>
            </w:r>
          </w:p>
        </w:tc>
      </w:tr>
      <w:tr>
        <w:trPr>
          <w:trHeight w:val="1020"/>
        </w:trPr>
        <w:tc>
          <w:tcPr>
            <w:tcW w:type="dxa" w:w="1928"/>
          </w:tcPr>
          <w:p>
            <w:r>
              <w:rPr>
                <w:b/>
                <w:sz w:val="19"/>
              </w:rPr>
              <w:t>Handtekening</w:t>
            </w:r>
          </w:p>
        </w:tc>
        <w:tc>
          <w:tcPr>
            <w:tcW w:type="dxa" w:w="3855"/>
          </w:tcPr>
          <w:p>
            <w:r>
              <w:rPr>
                <w:b w:val="0"/>
                <w:sz w:val="19"/>
              </w:rPr>
            </w:r>
          </w:p>
        </w:tc>
        <w:tc>
          <w:tcPr>
            <w:tcW w:type="dxa" w:w="3855"/>
          </w:tcPr>
          <w:p>
            <w:r>
              <w:rPr>
                <w:b w:val="0"/>
                <w:sz w:val="19"/>
              </w:rPr>
            </w:r>
          </w:p>
        </w:tc>
      </w:tr>
    </w:tbl>
    <w:p/>
    <w:p>
      <w:r>
        <w:rPr>
          <w:b/>
          <w:sz w:val="18"/>
        </w:rPr>
        <w:t>In te vullen door Ansvar</w:t>
      </w:r>
    </w:p>
    <w:tbl>
      <w:tblPr>
        <w:tblStyle w:val="TableGrid"/>
        <w:tblW w:type="auto" w:w="0"/>
        <w:tblLayout w:type="fixed"/>
        <w:tblLook w:firstColumn="1" w:firstRow="1" w:lastColumn="0" w:lastRow="0" w:noHBand="0" w:noVBand="1" w:val="04A0"/>
      </w:tblPr>
      <w:tblGrid>
        <w:gridCol w:w="4819"/>
        <w:gridCol w:w="4819"/>
      </w:tblGrid>
      <w:tr>
        <w:tc>
          <w:tcPr>
            <w:tcW w:type="dxa" w:w="3969"/>
            <w:shd w:val="clear" w:color="auto" w:fill="EEEEEE"/>
          </w:tcPr>
          <w:p>
            <w:r>
              <w:rPr>
                <w:b w:val="0"/>
                <w:sz w:val="17"/>
              </w:rPr>
              <w:t>Ansvar-organisatie-ID</w:t>
            </w:r>
          </w:p>
        </w:tc>
        <w:tc>
          <w:tcPr>
            <w:tcW w:type="dxa" w:w="5669"/>
            <w:shd w:val="clear" w:color="auto" w:fill="F7F7F7"/>
          </w:tcPr>
          <w:p/>
        </w:tc>
      </w:tr>
      <w:tr>
        <w:tc>
          <w:tcPr>
            <w:tcW w:type="dxa" w:w="3969"/>
            <w:shd w:val="clear" w:color="auto" w:fill="EEEEEE"/>
          </w:tcPr>
          <w:p>
            <w:r>
              <w:rPr>
                <w:b w:val="0"/>
                <w:sz w:val="17"/>
              </w:rPr>
              <w:t>Categorieën persoonsgegevens en betrokkenen per collectie (Bijlage R §R.4)</w:t>
            </w:r>
          </w:p>
        </w:tc>
        <w:tc>
          <w:tcPr>
            <w:tcW w:type="dxa" w:w="5669"/>
            <w:shd w:val="clear" w:color="auto" w:fill="F7F7F7"/>
          </w:tcPr>
          <w:p/>
        </w:tc>
      </w:tr>
      <w:tr>
        <w:tc>
          <w:tcPr>
            <w:tcW w:type="dxa" w:w="3969"/>
            <w:shd w:val="clear" w:color="auto" w:fill="EEEEEE"/>
          </w:tcPr>
          <w:p>
            <w:r>
              <w:rPr>
                <w:b w:val="0"/>
                <w:sz w:val="17"/>
              </w:rPr>
              <w:t>Bewaartermijn van back-ups per zoekkopie</w:t>
            </w:r>
          </w:p>
        </w:tc>
        <w:tc>
          <w:tcPr>
            <w:tcW w:type="dxa" w:w="5669"/>
            <w:shd w:val="clear" w:color="auto" w:fill="F7F7F7"/>
          </w:tcPr>
          <w:p/>
        </w:tc>
      </w:tr>
      <w:tr>
        <w:tc>
          <w:tcPr>
            <w:tcW w:type="dxa" w:w="3969"/>
            <w:shd w:val="clear" w:color="auto" w:fill="EEEEEE"/>
          </w:tcPr>
          <w:p>
            <w:r>
              <w:rPr>
                <w:b w:val="0"/>
                <w:sz w:val="17"/>
              </w:rPr>
              <w:t>Bewaartermijn van verzoeklogs en toegangsregistratie</w:t>
            </w:r>
          </w:p>
        </w:tc>
        <w:tc>
          <w:tcPr>
            <w:tcW w:type="dxa" w:w="5669"/>
            <w:shd w:val="clear" w:color="auto" w:fill="F7F7F7"/>
          </w:tcPr>
          <w:p/>
        </w:tc>
      </w:tr>
      <w:tr>
        <w:tc>
          <w:tcPr>
            <w:tcW w:type="dxa" w:w="3969"/>
            <w:shd w:val="clear" w:color="auto" w:fill="EEEEEE"/>
          </w:tcPr>
          <w:p>
            <w:r>
              <w:rPr>
                <w:b w:val="0"/>
                <w:sz w:val="17"/>
              </w:rPr>
              <w:t>Toegangscodes</w:t>
            </w:r>
          </w:p>
        </w:tc>
        <w:tc>
          <w:tcPr>
            <w:tcW w:type="dxa" w:w="5669"/>
            <w:shd w:val="clear" w:color="auto" w:fill="F7F7F7"/>
          </w:tcPr>
          <w:p/>
        </w:tc>
      </w:tr>
      <w:tr>
        <w:tc>
          <w:tcPr>
            <w:tcW w:type="dxa" w:w="3969"/>
            <w:shd w:val="clear" w:color="auto" w:fill="EEEEEE"/>
          </w:tcPr>
          <w:p>
            <w:r>
              <w:rPr>
                <w:b w:val="0"/>
                <w:sz w:val="17"/>
              </w:rPr>
              <w:t>Besluitdossier</w:t>
            </w:r>
          </w:p>
        </w:tc>
        <w:tc>
          <w:tcPr>
            <w:tcW w:type="dxa" w:w="5669"/>
            <w:shd w:val="clear" w:color="auto" w:fill="F7F7F7"/>
          </w:tcPr>
          <w:p/>
        </w:tc>
      </w:tr>
      <w:tr>
        <w:tc>
          <w:tcPr>
            <w:tcW w:type="dxa" w:w="3969"/>
            <w:shd w:val="clear" w:color="auto" w:fill="EEEEEE"/>
          </w:tcPr>
          <w:p>
            <w:r>
              <w:rPr>
                <w:b w:val="0"/>
                <w:sz w:val="17"/>
              </w:rPr>
              <w:t>Versie clausuletabel</w:t>
            </w:r>
          </w:p>
        </w:tc>
        <w:tc>
          <w:tcPr>
            <w:tcW w:type="dxa" w:w="5669"/>
            <w:shd w:val="clear" w:color="auto" w:fill="F7F7F7"/>
          </w:tcPr>
          <w:p>
            <w:r>
              <w:rPr>
                <w:b w:val="0"/>
                <w:sz w:val="17"/>
              </w:rPr>
              <w:t>CM-2026-09-23, DPA version 2026-07-27 (Annex R terms §R.7, docs/contracts/restricted-source-instruction-annex.md)</w:t>
            </w:r>
          </w:p>
        </w:tc>
      </w:tr>
      <w:tr>
        <w:tc>
          <w:tcPr>
            <w:tcW w:type="dxa" w:w="3969"/>
            <w:shd w:val="clear" w:color="auto" w:fill="EEEEEE"/>
          </w:tcPr>
          <w:p>
            <w:r>
              <w:rPr>
                <w:b w:val="0"/>
                <w:sz w:val="17"/>
              </w:rPr>
              <w:t>Ontvangen op</w:t>
            </w:r>
          </w:p>
        </w:tc>
        <w:tc>
          <w:tcPr>
            <w:tcW w:type="dxa" w:w="5669"/>
            <w:shd w:val="clear" w:color="auto" w:fill="F7F7F7"/>
          </w:tcPr>
          <w:p/>
        </w:tc>
      </w:tr>
    </w:tbl>
    <w:sectPr w:rsidR="00FC693F" w:rsidRPr="0006063C" w:rsidSect="00034616">
      <w:footerReference w:type="default" r:id="rId9"/>
      <w:pgSz w:w="11906" w:h="16838"/>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Ansvar Systems AB · Bijlage R: opdracht voor afgeschermde collecties · R-2026-09-23.2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R: opdracht voor afgeschermde collecties</dc:title>
  <dc:subject>Form version R-2026-09-23.2</dc:subject>
  <dc:creator>Ansvar Systems AB</dc:creator>
  <cp:keywords/>
  <dc:description>generated by python-docx</dc:description>
  <cp:lastModifiedBy/>
  <cp:revision>1</cp:revision>
  <dcterms:created xsi:type="dcterms:W3CDTF">2013-12-23T23:15:00Z</dcterms:created>
  <dcterms:modified xsi:type="dcterms:W3CDTF">2013-12-23T23:15:00Z</dcterms:modified>
  <cp:category/>
</cp:coreProperties>
</file>